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2C" w:rsidRDefault="00321D2C" w:rsidP="00321D2C">
      <w:pPr>
        <w:spacing w:after="0" w:line="240" w:lineRule="auto"/>
        <w:jc w:val="right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751406" cy="6819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Logo New 2011 Ver 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8" cy="682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F33" w:rsidRPr="00470F33" w:rsidRDefault="002C54D7" w:rsidP="00470F33">
      <w:pPr>
        <w:spacing w:after="0" w:line="240" w:lineRule="auto"/>
        <w:rPr>
          <w:b/>
        </w:rPr>
      </w:pPr>
      <w:r>
        <w:rPr>
          <w:b/>
        </w:rPr>
        <w:t>Professional Development Fund</w:t>
      </w:r>
      <w:r w:rsidR="00E1398A">
        <w:rPr>
          <w:b/>
        </w:rPr>
        <w:t xml:space="preserve"> Guideline</w:t>
      </w:r>
    </w:p>
    <w:p w:rsidR="00470F33" w:rsidRPr="00470F33" w:rsidRDefault="00E1398A" w:rsidP="00470F33">
      <w:pPr>
        <w:spacing w:after="0" w:line="240" w:lineRule="auto"/>
        <w:rPr>
          <w:b/>
        </w:rPr>
      </w:pPr>
      <w:r>
        <w:rPr>
          <w:b/>
        </w:rPr>
        <w:t>CYFS Coalition</w:t>
      </w:r>
      <w:bookmarkStart w:id="0" w:name="_GoBack"/>
      <w:bookmarkEnd w:id="0"/>
    </w:p>
    <w:p w:rsidR="00DD25BA" w:rsidRDefault="00285391" w:rsidP="00470F33">
      <w:pPr>
        <w:spacing w:after="0" w:line="240" w:lineRule="auto"/>
        <w:rPr>
          <w:b/>
        </w:rPr>
      </w:pPr>
      <w:r>
        <w:rPr>
          <w:b/>
        </w:rPr>
        <w:t>May 14, 2015</w:t>
      </w:r>
    </w:p>
    <w:p w:rsidR="00470F33" w:rsidRDefault="00470F33" w:rsidP="00470F33">
      <w:pPr>
        <w:spacing w:after="0" w:line="240" w:lineRule="auto"/>
        <w:rPr>
          <w:b/>
        </w:rPr>
      </w:pPr>
    </w:p>
    <w:p w:rsidR="00470F33" w:rsidRPr="00332411" w:rsidRDefault="00470F33" w:rsidP="00470F33">
      <w:pPr>
        <w:spacing w:after="0" w:line="240" w:lineRule="auto"/>
        <w:rPr>
          <w:b/>
        </w:rPr>
      </w:pPr>
      <w:r w:rsidRPr="00332411">
        <w:rPr>
          <w:b/>
        </w:rPr>
        <w:t>Purpose</w:t>
      </w:r>
    </w:p>
    <w:p w:rsidR="00332411" w:rsidRPr="00332411" w:rsidRDefault="00332411" w:rsidP="00332411">
      <w:r w:rsidRPr="00332411">
        <w:t>The Coalition will provide support to members to access training and opportunities that benefit our collective work towards achieving our Strategic Objectives.  Funding for this fund would arrive in a surplus financial year and/or through donations.</w:t>
      </w:r>
    </w:p>
    <w:p w:rsidR="00470F33" w:rsidRPr="00332411" w:rsidRDefault="00470F33" w:rsidP="00470F33">
      <w:pPr>
        <w:spacing w:after="0" w:line="240" w:lineRule="auto"/>
        <w:rPr>
          <w:b/>
        </w:rPr>
      </w:pPr>
      <w:r w:rsidRPr="00332411">
        <w:rPr>
          <w:b/>
        </w:rPr>
        <w:t>Eligible Training Events and Costs</w:t>
      </w:r>
    </w:p>
    <w:p w:rsidR="00332411" w:rsidRPr="00332411" w:rsidRDefault="00332411" w:rsidP="00332411">
      <w:r w:rsidRPr="00332411">
        <w:t>Eligible events will relate to the Coalition Strategic Objectives.  Expense eligibility would be limited to registration fees, meals, travel and/or accommodation up to a maximum of $500.  Each application will be reviewed by the Coalition. Member organizations may be asked to cover a portion of training costs.</w:t>
      </w:r>
    </w:p>
    <w:p w:rsidR="00470F33" w:rsidRPr="00332411" w:rsidRDefault="00470F33" w:rsidP="00470F33">
      <w:pPr>
        <w:spacing w:after="0" w:line="240" w:lineRule="auto"/>
        <w:rPr>
          <w:b/>
        </w:rPr>
      </w:pPr>
      <w:r w:rsidRPr="00332411">
        <w:rPr>
          <w:b/>
        </w:rPr>
        <w:t>Eligible Participants and Expectations</w:t>
      </w:r>
    </w:p>
    <w:p w:rsidR="00332411" w:rsidRPr="00332411" w:rsidRDefault="00470F33" w:rsidP="00332411">
      <w:r w:rsidRPr="00332411">
        <w:t>Participants who receive support to attend eligible events should be staff within a Coalition member organization in good standing, who are actively participating on one or more Coalition tables or working groups.</w:t>
      </w:r>
      <w:r w:rsidR="00B67E07">
        <w:t xml:space="preserve">   </w:t>
      </w:r>
      <w:r w:rsidR="00B67E07" w:rsidRPr="00332411">
        <w:t>Those providing purchase service</w:t>
      </w:r>
      <w:r w:rsidR="00B67E07">
        <w:t>s</w:t>
      </w:r>
      <w:r w:rsidR="00B67E07" w:rsidRPr="00332411">
        <w:t xml:space="preserve"> supports would be eligible to apply for training.   </w:t>
      </w:r>
      <w:r w:rsidRPr="00332411">
        <w:t xml:space="preserve">It is expected that participants will share their new knowledge and understanding when they return from training, either in a presentation to Coalition table (s) or by undertaking </w:t>
      </w:r>
      <w:r w:rsidR="002C54D7" w:rsidRPr="00332411">
        <w:t xml:space="preserve">a </w:t>
      </w:r>
      <w:r w:rsidRPr="00332411">
        <w:t>training program that will benefit Coalition members.</w:t>
      </w:r>
      <w:r w:rsidR="00332411" w:rsidRPr="00332411">
        <w:t xml:space="preserve">  </w:t>
      </w:r>
    </w:p>
    <w:p w:rsidR="00470F33" w:rsidRPr="00332411" w:rsidRDefault="00470F33" w:rsidP="00470F33">
      <w:pPr>
        <w:spacing w:after="0" w:line="240" w:lineRule="auto"/>
        <w:rPr>
          <w:b/>
        </w:rPr>
      </w:pPr>
      <w:r w:rsidRPr="00332411">
        <w:rPr>
          <w:b/>
        </w:rPr>
        <w:t>Process for Applying</w:t>
      </w:r>
    </w:p>
    <w:p w:rsidR="002C54D7" w:rsidRPr="00332411" w:rsidRDefault="002C54D7" w:rsidP="00470F33">
      <w:pPr>
        <w:spacing w:after="0" w:line="240" w:lineRule="auto"/>
      </w:pPr>
      <w:r w:rsidRPr="00332411">
        <w:t xml:space="preserve">An individual or organization may apply to the Coalition’s Infrastructure Table to </w:t>
      </w:r>
      <w:r w:rsidR="00332411">
        <w:t>access</w:t>
      </w:r>
      <w:r w:rsidRPr="00332411">
        <w:t xml:space="preserve"> the Professional Development F</w:t>
      </w:r>
      <w:r w:rsidR="001679BF">
        <w:t>und by contacting Julie McAlpine</w:t>
      </w:r>
      <w:r w:rsidRPr="00332411">
        <w:t xml:space="preserve">, </w:t>
      </w:r>
      <w:r w:rsidR="00B67E07">
        <w:t xml:space="preserve">CYFS Coalition Executive Assistant </w:t>
      </w:r>
      <w:r w:rsidR="001679BF">
        <w:t>jmcalpine@simcoecountycoalition.ca</w:t>
      </w:r>
      <w:r w:rsidRPr="00332411">
        <w:t xml:space="preserve">. </w:t>
      </w:r>
      <w:r w:rsidR="003916A1">
        <w:t xml:space="preserve">  It is recommended that applications be submitted 6 weeks prior to the training event. </w:t>
      </w:r>
      <w:r w:rsidRPr="00332411">
        <w:t>An application form will be sent which will ask for details of the training, proposed benefit to the individual, organization and the Coalition as a whole, including how the new knowledge will be shared following the training.  Infrastructure will review applications and make recommendations to Secretariat.</w:t>
      </w:r>
    </w:p>
    <w:sectPr w:rsidR="002C54D7" w:rsidRPr="00332411" w:rsidSect="00F95F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3"/>
    <w:rsid w:val="001679BF"/>
    <w:rsid w:val="00285391"/>
    <w:rsid w:val="002C54D7"/>
    <w:rsid w:val="00321D2C"/>
    <w:rsid w:val="00332411"/>
    <w:rsid w:val="00333387"/>
    <w:rsid w:val="003916A1"/>
    <w:rsid w:val="00470F33"/>
    <w:rsid w:val="004A6F82"/>
    <w:rsid w:val="008173CA"/>
    <w:rsid w:val="008A6166"/>
    <w:rsid w:val="00B67E07"/>
    <w:rsid w:val="00BB54F2"/>
    <w:rsid w:val="00CF7F4F"/>
    <w:rsid w:val="00DD25BA"/>
    <w:rsid w:val="00E1398A"/>
    <w:rsid w:val="00F9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8EC61-3C27-48C4-9B37-DC778E64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2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Sandra Cole</cp:lastModifiedBy>
  <cp:revision>4</cp:revision>
  <dcterms:created xsi:type="dcterms:W3CDTF">2015-11-13T15:23:00Z</dcterms:created>
  <dcterms:modified xsi:type="dcterms:W3CDTF">2016-02-02T16:33:00Z</dcterms:modified>
</cp:coreProperties>
</file>